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8B395F" w:rsidRDefault="00A16953" w:rsidP="00151A28">
      <w:pPr>
        <w:pStyle w:val="Default"/>
        <w:jc w:val="center"/>
        <w:rPr>
          <w:lang w:val="es-ES_tradnl"/>
        </w:rPr>
      </w:pPr>
    </w:p>
    <w:p w14:paraId="2E5C3B81" w14:textId="7BB6CC7A" w:rsidR="00A16953" w:rsidRPr="008B395F" w:rsidRDefault="00A16953" w:rsidP="00151A28">
      <w:pPr>
        <w:jc w:val="center"/>
        <w:rPr>
          <w:b/>
          <w:bCs/>
          <w:sz w:val="23"/>
          <w:szCs w:val="23"/>
          <w:lang w:val="es-ES_tradnl"/>
        </w:rPr>
      </w:pPr>
      <w:r w:rsidRPr="00151A28">
        <w:rPr>
          <w:b/>
          <w:bCs/>
          <w:sz w:val="23"/>
          <w:szCs w:val="23"/>
          <w:lang w:val="es-ES_tradnl"/>
        </w:rPr>
        <w:t>MODELO DE CONVENIO DE SUBVENCIÓN ENTRE BENEFICIARIOS Y PARTICIPANTES</w:t>
      </w:r>
    </w:p>
    <w:p w14:paraId="23639D41" w14:textId="77777777" w:rsidR="00A16953" w:rsidRPr="008B395F" w:rsidRDefault="00A16953" w:rsidP="00A16953">
      <w:pPr>
        <w:jc w:val="center"/>
        <w:rPr>
          <w:b/>
          <w:bCs/>
          <w:sz w:val="23"/>
          <w:szCs w:val="23"/>
          <w:lang w:val="es-ES_tradnl"/>
        </w:rPr>
      </w:pPr>
    </w:p>
    <w:p w14:paraId="3F9494D7" w14:textId="77777777" w:rsidR="00A16953" w:rsidRPr="008B395F" w:rsidRDefault="00A16953" w:rsidP="00A16953">
      <w:pPr>
        <w:spacing w:after="120"/>
        <w:jc w:val="center"/>
        <w:rPr>
          <w:b/>
          <w:bCs/>
          <w:sz w:val="23"/>
          <w:szCs w:val="23"/>
          <w:lang w:val="es-ES_tradnl"/>
        </w:rPr>
      </w:pPr>
      <w:r w:rsidRPr="008B395F">
        <w:rPr>
          <w:b/>
          <w:bCs/>
          <w:sz w:val="23"/>
          <w:szCs w:val="23"/>
          <w:lang w:val="es-ES_tradnl"/>
        </w:rPr>
        <w:t>CONVENIO – ERASMUS+ - MOVILIDAD DE LAS PERSONAS</w:t>
      </w:r>
    </w:p>
    <w:p w14:paraId="421EC7DC" w14:textId="6B3D7E66" w:rsidR="00A16953" w:rsidRPr="008B395F" w:rsidRDefault="00A16953" w:rsidP="00A16953">
      <w:pPr>
        <w:spacing w:after="360"/>
        <w:jc w:val="center"/>
        <w:rPr>
          <w:sz w:val="24"/>
          <w:szCs w:val="24"/>
          <w:lang w:val="es-ES_tradnl"/>
        </w:rPr>
      </w:pPr>
      <w:r w:rsidRPr="008B395F">
        <w:rPr>
          <w:sz w:val="24"/>
          <w:szCs w:val="24"/>
          <w:lang w:val="es-ES_tradnl"/>
        </w:rPr>
        <w:t xml:space="preserve">Número del proyecto: </w:t>
      </w:r>
      <w:bookmarkStart w:id="0" w:name="_Hlk117074585"/>
      <w:r w:rsidRPr="0073175F">
        <w:rPr>
          <w:sz w:val="24"/>
          <w:szCs w:val="24"/>
          <w:lang w:val="es-ES_tradnl"/>
        </w:rPr>
        <w:t>202</w:t>
      </w:r>
      <w:r w:rsidR="0073175F" w:rsidRPr="0073175F">
        <w:rPr>
          <w:sz w:val="24"/>
          <w:szCs w:val="24"/>
          <w:lang w:val="es-ES_tradnl"/>
        </w:rPr>
        <w:t>4</w:t>
      </w:r>
      <w:r w:rsidRPr="0073175F">
        <w:rPr>
          <w:sz w:val="24"/>
          <w:szCs w:val="24"/>
          <w:lang w:val="es-ES_tradnl"/>
        </w:rPr>
        <w:t>-1-ES01-KA131-HED-</w:t>
      </w:r>
      <w:bookmarkEnd w:id="0"/>
      <w:r w:rsidR="0073175F">
        <w:rPr>
          <w:sz w:val="24"/>
          <w:szCs w:val="24"/>
          <w:lang w:val="es-ES_tradnl"/>
        </w:rPr>
        <w:t>000206063</w:t>
      </w: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1D54F85B" w:rsidR="00A16953" w:rsidRPr="008B395F" w:rsidRDefault="00A16953" w:rsidP="00A16953">
      <w:pPr>
        <w:spacing w:after="120"/>
        <w:rPr>
          <w:sz w:val="24"/>
          <w:szCs w:val="24"/>
          <w:lang w:val="es-ES_tradnl"/>
        </w:rPr>
      </w:pPr>
      <w:r w:rsidRPr="008B395F">
        <w:rPr>
          <w:sz w:val="24"/>
          <w:szCs w:val="24"/>
          <w:lang w:val="es-ES_tradnl"/>
        </w:rPr>
        <w:t>Curso académico: 20</w:t>
      </w:r>
      <w:r w:rsidR="00151A28" w:rsidRPr="00151A28">
        <w:rPr>
          <w:sz w:val="24"/>
          <w:szCs w:val="24"/>
          <w:lang w:val="es-ES_tradnl"/>
        </w:rPr>
        <w:t>24</w:t>
      </w:r>
      <w:r w:rsidRPr="008B395F">
        <w:rPr>
          <w:sz w:val="24"/>
          <w:szCs w:val="24"/>
          <w:lang w:val="es-ES_tradnl"/>
        </w:rPr>
        <w:t>/20</w:t>
      </w:r>
      <w:r w:rsidR="00151A28">
        <w:rPr>
          <w:sz w:val="24"/>
          <w:szCs w:val="24"/>
          <w:lang w:val="es-ES_tradnl"/>
        </w:rPr>
        <w:t>25</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0CDF6ACE" w14:textId="5D39B648" w:rsidR="00A16953" w:rsidRDefault="00A16953" w:rsidP="00A16953">
      <w:pPr>
        <w:pStyle w:val="Default"/>
        <w:spacing w:after="120"/>
        <w:rPr>
          <w:sz w:val="22"/>
          <w:lang w:val="es-ES_tradnl"/>
        </w:rPr>
      </w:pPr>
      <w:r w:rsidRPr="008B395F">
        <w:rPr>
          <w:lang w:val="es-ES_tradnl"/>
        </w:rPr>
        <w:t xml:space="preserve">la Organización (en lo sucesivo, </w:t>
      </w:r>
      <w:r w:rsidRPr="008B395F">
        <w:rPr>
          <w:sz w:val="22"/>
          <w:lang w:val="es-ES_tradnl"/>
        </w:rPr>
        <w:t>«la organización»),</w:t>
      </w:r>
    </w:p>
    <w:p w14:paraId="0A12C00D" w14:textId="4A99D41C" w:rsidR="00B65825" w:rsidRDefault="00B65825" w:rsidP="00A16953">
      <w:pPr>
        <w:pStyle w:val="Default"/>
        <w:spacing w:after="120"/>
        <w:rPr>
          <w:sz w:val="22"/>
          <w:lang w:val="es-ES_tradnl"/>
        </w:rPr>
      </w:pPr>
      <w:r>
        <w:rPr>
          <w:sz w:val="22"/>
          <w:lang w:val="es-ES_tradnl"/>
        </w:rPr>
        <w:t>UNIVERSIDAD DE VALLADOLID</w:t>
      </w:r>
    </w:p>
    <w:p w14:paraId="0A6B1928" w14:textId="2DBE328C" w:rsidR="00B65825" w:rsidRPr="008B395F" w:rsidRDefault="00B65825" w:rsidP="00A16953">
      <w:pPr>
        <w:pStyle w:val="Default"/>
        <w:spacing w:after="120"/>
        <w:rPr>
          <w:lang w:val="es-ES_tradnl"/>
        </w:rPr>
      </w:pPr>
      <w:r>
        <w:rPr>
          <w:sz w:val="22"/>
          <w:lang w:val="es-ES_tradnl"/>
        </w:rPr>
        <w:t>Código ERASMUS: E VALLADO01</w:t>
      </w:r>
    </w:p>
    <w:p w14:paraId="5E0865E7" w14:textId="33C53A51" w:rsidR="00A16953" w:rsidRPr="008B395F" w:rsidRDefault="00A16953" w:rsidP="00A16953">
      <w:pPr>
        <w:spacing w:after="120"/>
        <w:rPr>
          <w:sz w:val="24"/>
          <w:szCs w:val="24"/>
          <w:lang w:val="es-ES_tradnl"/>
        </w:rPr>
      </w:pPr>
      <w:r w:rsidRPr="008B395F">
        <w:rPr>
          <w:sz w:val="24"/>
          <w:szCs w:val="24"/>
          <w:lang w:val="es-ES_tradnl"/>
        </w:rPr>
        <w:t xml:space="preserve">Dirección: </w:t>
      </w:r>
      <w:r w:rsidR="00B65825">
        <w:rPr>
          <w:sz w:val="24"/>
          <w:szCs w:val="24"/>
          <w:lang w:val="es-ES_tradnl"/>
        </w:rPr>
        <w:t>Plaza de Santa Cruz, 8. 47002 Valladolid</w:t>
      </w:r>
    </w:p>
    <w:p w14:paraId="033A4229" w14:textId="0E5E3BEE" w:rsidR="00A16953" w:rsidRPr="008B395F" w:rsidRDefault="00A16953" w:rsidP="00A16953">
      <w:pPr>
        <w:spacing w:after="120"/>
        <w:rPr>
          <w:sz w:val="24"/>
          <w:szCs w:val="24"/>
          <w:lang w:val="es-ES_tradnl"/>
        </w:rPr>
      </w:pPr>
      <w:r w:rsidRPr="008B395F">
        <w:rPr>
          <w:sz w:val="24"/>
          <w:szCs w:val="24"/>
          <w:lang w:val="es-ES_tradnl"/>
        </w:rPr>
        <w:t>Correo electrónico:</w:t>
      </w:r>
      <w:r w:rsidR="00B65825">
        <w:rPr>
          <w:sz w:val="24"/>
          <w:szCs w:val="24"/>
          <w:lang w:val="es-ES_tradnl"/>
        </w:rPr>
        <w:t xml:space="preserve"> </w:t>
      </w:r>
      <w:hyperlink r:id="rId8" w:history="1">
        <w:r w:rsidR="009C50B1" w:rsidRPr="00297808">
          <w:rPr>
            <w:rStyle w:val="Hipervnculo"/>
            <w:sz w:val="24"/>
            <w:szCs w:val="24"/>
            <w:lang w:val="es-ES_tradnl"/>
          </w:rPr>
          <w:t>bips.erasmus@uva.es</w:t>
        </w:r>
      </w:hyperlink>
      <w:r w:rsidR="00B65825">
        <w:rPr>
          <w:sz w:val="24"/>
          <w:szCs w:val="24"/>
          <w:lang w:val="es-ES_tradnl"/>
        </w:rPr>
        <w:t xml:space="preserve"> </w:t>
      </w:r>
    </w:p>
    <w:p w14:paraId="08920023" w14:textId="3F915D58" w:rsidR="00A16953" w:rsidRPr="00B65825" w:rsidRDefault="00A16953" w:rsidP="00A16953">
      <w:pPr>
        <w:spacing w:after="120"/>
        <w:jc w:val="both"/>
        <w:rPr>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 xml:space="preserve">onvenio por </w:t>
      </w:r>
      <w:r w:rsidR="00B65825">
        <w:rPr>
          <w:sz w:val="24"/>
          <w:szCs w:val="24"/>
          <w:lang w:val="es-ES_tradnl"/>
        </w:rPr>
        <w:t>Antonio Largo Cabrerizo, Rector</w:t>
      </w: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3C5B1DAF" w14:textId="0E8E9F44" w:rsidR="00B65825" w:rsidRDefault="00A16953" w:rsidP="00A16953">
      <w:pPr>
        <w:spacing w:after="120"/>
        <w:rPr>
          <w:sz w:val="24"/>
          <w:szCs w:val="24"/>
          <w:lang w:val="es-ES_tradnl"/>
        </w:rPr>
      </w:pPr>
      <w:r w:rsidRPr="00B65825">
        <w:rPr>
          <w:sz w:val="24"/>
          <w:szCs w:val="24"/>
          <w:lang w:val="es-ES_tradnl"/>
        </w:rPr>
        <w:t>Nombre y apellidos</w:t>
      </w:r>
      <w:r w:rsidR="00B65825">
        <w:rPr>
          <w:sz w:val="24"/>
          <w:szCs w:val="24"/>
          <w:lang w:val="es-ES_tradnl"/>
        </w:rPr>
        <w:t xml:space="preserve"> del estudiante:</w:t>
      </w:r>
    </w:p>
    <w:p w14:paraId="628E7DE7" w14:textId="1A247DE2" w:rsidR="00A16953" w:rsidRPr="008B395F" w:rsidRDefault="00B65825" w:rsidP="00A16953">
      <w:pPr>
        <w:spacing w:after="120"/>
        <w:rPr>
          <w:sz w:val="24"/>
          <w:szCs w:val="24"/>
          <w:lang w:val="es-ES_tradnl"/>
        </w:rPr>
      </w:pPr>
      <w:r w:rsidRPr="00B65825">
        <w:rPr>
          <w:sz w:val="24"/>
          <w:szCs w:val="24"/>
          <w:lang w:val="es-ES_tradnl"/>
        </w:rPr>
        <w:t>D</w:t>
      </w:r>
      <w:r w:rsidR="008068B2" w:rsidRPr="00B65825">
        <w:rPr>
          <w:sz w:val="24"/>
          <w:szCs w:val="24"/>
          <w:lang w:val="es-ES_tradnl"/>
        </w:rPr>
        <w:t>irección oficial completa</w:t>
      </w:r>
      <w:r w:rsidRPr="00B65825">
        <w:rPr>
          <w:sz w:val="24"/>
          <w:szCs w:val="24"/>
          <w:lang w:val="es-ES_tradnl"/>
        </w:rPr>
        <w:t>:</w:t>
      </w:r>
    </w:p>
    <w:p w14:paraId="0F80E328" w14:textId="1EFCEC26" w:rsidR="00A16953" w:rsidRPr="008B395F" w:rsidRDefault="00A16953" w:rsidP="00A16953">
      <w:pPr>
        <w:spacing w:after="120"/>
        <w:rPr>
          <w:sz w:val="24"/>
          <w:szCs w:val="24"/>
          <w:lang w:val="es-ES_tradnl"/>
        </w:rPr>
      </w:pPr>
      <w:r w:rsidRPr="008B395F">
        <w:rPr>
          <w:sz w:val="24"/>
          <w:szCs w:val="24"/>
          <w:lang w:val="es-ES_tradnl"/>
        </w:rPr>
        <w:t>Fecha de nacimiento</w:t>
      </w:r>
      <w:r w:rsidR="004D117B" w:rsidRPr="008B395F">
        <w:rPr>
          <w:sz w:val="24"/>
          <w:szCs w:val="24"/>
          <w:lang w:val="es-ES_tradnl"/>
        </w:rPr>
        <w:t>:</w:t>
      </w:r>
      <w:r w:rsidRPr="008B395F">
        <w:rPr>
          <w:lang w:val="es-ES_tradnl"/>
        </w:rPr>
        <w:tab/>
      </w:r>
      <w:r w:rsidRPr="008B395F">
        <w:rPr>
          <w:lang w:val="es-ES_tradnl"/>
        </w:rPr>
        <w:tab/>
      </w:r>
      <w:r w:rsidRPr="008B395F">
        <w:rPr>
          <w:lang w:val="es-ES_tradnl"/>
        </w:rPr>
        <w:tab/>
      </w:r>
    </w:p>
    <w:p w14:paraId="6B7F7BB1" w14:textId="77777777" w:rsidR="00A16953" w:rsidRPr="008B395F" w:rsidRDefault="00A16953" w:rsidP="00A16953">
      <w:pPr>
        <w:spacing w:after="120"/>
        <w:rPr>
          <w:sz w:val="24"/>
          <w:szCs w:val="24"/>
          <w:lang w:val="es-ES_tradnl"/>
        </w:rPr>
      </w:pPr>
      <w:r w:rsidRPr="008B395F">
        <w:rPr>
          <w:sz w:val="24"/>
          <w:szCs w:val="24"/>
          <w:lang w:val="es-ES_tradnl"/>
        </w:rPr>
        <w:t>Teléfono:</w:t>
      </w:r>
      <w:r w:rsidRPr="008B395F">
        <w:rPr>
          <w:lang w:val="es-ES_tradnl"/>
        </w:rPr>
        <w:tab/>
      </w:r>
      <w:r w:rsidRPr="008B395F">
        <w:rPr>
          <w:lang w:val="es-ES_tradnl"/>
        </w:rPr>
        <w:tab/>
      </w:r>
      <w:r w:rsidRPr="008B395F">
        <w:rPr>
          <w:lang w:val="es-ES_tradnl"/>
        </w:rPr>
        <w:tab/>
      </w:r>
      <w:r w:rsidRPr="008B395F">
        <w:rPr>
          <w:lang w:val="es-ES_tradnl"/>
        </w:rPr>
        <w:tab/>
      </w:r>
      <w:r w:rsidRPr="008B395F">
        <w:rPr>
          <w:lang w:val="es-ES_tradnl"/>
        </w:rPr>
        <w:tab/>
      </w:r>
    </w:p>
    <w:p w14:paraId="14B935E1" w14:textId="704B3915" w:rsidR="00A16953" w:rsidRDefault="00A16953" w:rsidP="00A16953">
      <w:pPr>
        <w:spacing w:after="120"/>
        <w:rPr>
          <w:sz w:val="24"/>
          <w:szCs w:val="24"/>
          <w:lang w:val="es-ES_tradnl"/>
        </w:rPr>
      </w:pPr>
      <w:r w:rsidRPr="008B395F">
        <w:rPr>
          <w:sz w:val="24"/>
          <w:szCs w:val="24"/>
          <w:lang w:val="es-ES_tradnl"/>
        </w:rPr>
        <w:t>Correo electrónico:</w:t>
      </w:r>
    </w:p>
    <w:p w14:paraId="10D9D07F" w14:textId="0287530B" w:rsidR="009C50B1" w:rsidRPr="008B395F" w:rsidRDefault="009C50B1" w:rsidP="00A16953">
      <w:pPr>
        <w:spacing w:after="120"/>
        <w:rPr>
          <w:sz w:val="24"/>
          <w:szCs w:val="24"/>
          <w:lang w:val="es-ES_tradnl"/>
        </w:rPr>
      </w:pPr>
      <w:r w:rsidRPr="009C50B1">
        <w:rPr>
          <w:noProof/>
          <w:sz w:val="22"/>
          <w:szCs w:val="22"/>
          <w:lang w:val="es-ES" w:eastAsia="en-US"/>
        </w:rPr>
        <mc:AlternateContent>
          <mc:Choice Requires="wps">
            <w:drawing>
              <wp:anchor distT="0" distB="0" distL="0" distR="0" simplePos="0" relativeHeight="251659264" behindDoc="1" locked="0" layoutInCell="1" allowOverlap="1" wp14:anchorId="1C897CE1" wp14:editId="4F500DC5">
                <wp:simplePos x="0" y="0"/>
                <wp:positionH relativeFrom="page">
                  <wp:posOffset>1076325</wp:posOffset>
                </wp:positionH>
                <wp:positionV relativeFrom="paragraph">
                  <wp:posOffset>249555</wp:posOffset>
                </wp:positionV>
                <wp:extent cx="5717540" cy="1190625"/>
                <wp:effectExtent l="0" t="0" r="16510" b="28575"/>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CBEA3D" w14:textId="77777777" w:rsidR="009C50B1" w:rsidRDefault="009C50B1" w:rsidP="009C50B1">
                            <w:pPr>
                              <w:pStyle w:val="Textoindependiente"/>
                              <w:spacing w:before="65"/>
                              <w:ind w:left="142" w:right="3342"/>
                            </w:pPr>
                            <w:r>
                              <w:t xml:space="preserve">Cuenta bancaria para los pagos de la ayuda financiera: </w:t>
                            </w:r>
                          </w:p>
                          <w:p w14:paraId="5737228F" w14:textId="77777777" w:rsidR="009C50B1" w:rsidRDefault="009C50B1" w:rsidP="009C50B1">
                            <w:pPr>
                              <w:pStyle w:val="Textoindependiente"/>
                              <w:spacing w:before="65"/>
                              <w:ind w:left="142" w:right="3342"/>
                            </w:pPr>
                            <w:r>
                              <w:t xml:space="preserve">Titular de la cuenta bancaria (si es distinto al estudiante): </w:t>
                            </w:r>
                          </w:p>
                          <w:p w14:paraId="670E8245" w14:textId="212D0575" w:rsidR="009C50B1" w:rsidRDefault="009C50B1" w:rsidP="009C50B1">
                            <w:pPr>
                              <w:pStyle w:val="Textoindependiente"/>
                              <w:spacing w:before="65"/>
                              <w:ind w:left="142" w:right="3342"/>
                            </w:pPr>
                            <w:r>
                              <w:t xml:space="preserve">Nombre del banco: </w:t>
                            </w:r>
                          </w:p>
                          <w:p w14:paraId="1C333380" w14:textId="77777777" w:rsidR="009C50B1" w:rsidRDefault="009C50B1" w:rsidP="009C50B1">
                            <w:pPr>
                              <w:pStyle w:val="Textoindependiente"/>
                              <w:tabs>
                                <w:tab w:val="left" w:pos="3742"/>
                              </w:tabs>
                              <w:spacing w:before="8"/>
                              <w:ind w:left="142"/>
                            </w:pPr>
                            <w:r>
                              <w:t>Código</w:t>
                            </w:r>
                            <w:r>
                              <w:rPr>
                                <w:spacing w:val="-4"/>
                              </w:rPr>
                              <w:t xml:space="preserve"> </w:t>
                            </w:r>
                            <w:r>
                              <w:t xml:space="preserve">BIC/SWIFT:   </w:t>
                            </w:r>
                          </w:p>
                          <w:p w14:paraId="32A86DC1" w14:textId="1CA5B591" w:rsidR="009C50B1" w:rsidRDefault="009C50B1" w:rsidP="009C50B1">
                            <w:pPr>
                              <w:pStyle w:val="Textoindependiente"/>
                              <w:tabs>
                                <w:tab w:val="left" w:pos="3742"/>
                              </w:tabs>
                              <w:spacing w:before="8"/>
                              <w:ind w:left="142"/>
                            </w:pPr>
                            <w:r>
                              <w:t>Código</w:t>
                            </w:r>
                            <w:r>
                              <w:rPr>
                                <w:spacing w:val="2"/>
                              </w:rPr>
                              <w:t xml:space="preserve"> </w:t>
                            </w:r>
                            <w:r>
                              <w:t xml:space="preserve">IBAN: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7CE1" id="_x0000_t202" coordsize="21600,21600" o:spt="202" path="m,l,21600r21600,l21600,xe">
                <v:stroke joinstyle="miter"/>
                <v:path gradientshapeok="t" o:connecttype="rect"/>
              </v:shapetype>
              <v:shape id="Text Box 15" o:spid="_x0000_s1026" type="#_x0000_t202" style="position:absolute;margin-left:84.75pt;margin-top:19.65pt;width:450.2pt;height:9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" filled="f">
                <v:textbox inset="0,0,0,0">
                  <w:txbxContent>
                    <w:p w14:paraId="78CBEA3D" w14:textId="77777777" w:rsidR="009C50B1" w:rsidRDefault="009C50B1" w:rsidP="009C50B1">
                      <w:pPr>
                        <w:pStyle w:val="Textoindependiente"/>
                        <w:spacing w:before="65"/>
                        <w:ind w:left="142" w:right="3342"/>
                      </w:pPr>
                      <w:r>
                        <w:t xml:space="preserve">Cuenta bancaria para los pagos de la ayuda financiera: </w:t>
                      </w:r>
                    </w:p>
                    <w:p w14:paraId="5737228F" w14:textId="77777777" w:rsidR="009C50B1" w:rsidRDefault="009C50B1" w:rsidP="009C50B1">
                      <w:pPr>
                        <w:pStyle w:val="Textoindependiente"/>
                        <w:spacing w:before="65"/>
                        <w:ind w:left="142" w:right="3342"/>
                      </w:pPr>
                      <w:r>
                        <w:t xml:space="preserve">Titular de la cuenta bancaria (si es distinto al estudiante): </w:t>
                      </w:r>
                    </w:p>
                    <w:p w14:paraId="670E8245" w14:textId="212D0575" w:rsidR="009C50B1" w:rsidRDefault="009C50B1" w:rsidP="009C50B1">
                      <w:pPr>
                        <w:pStyle w:val="Textoindependiente"/>
                        <w:spacing w:before="65"/>
                        <w:ind w:left="142" w:right="3342"/>
                      </w:pPr>
                      <w:r>
                        <w:t xml:space="preserve">Nombre del banco: </w:t>
                      </w:r>
                    </w:p>
                    <w:p w14:paraId="1C333380" w14:textId="77777777" w:rsidR="009C50B1" w:rsidRDefault="009C50B1" w:rsidP="009C50B1">
                      <w:pPr>
                        <w:pStyle w:val="Textoindependiente"/>
                        <w:tabs>
                          <w:tab w:val="left" w:pos="3742"/>
                        </w:tabs>
                        <w:spacing w:before="8"/>
                        <w:ind w:left="142"/>
                      </w:pPr>
                      <w:r>
                        <w:t>Código</w:t>
                      </w:r>
                      <w:r>
                        <w:rPr>
                          <w:spacing w:val="-4"/>
                        </w:rPr>
                        <w:t xml:space="preserve"> </w:t>
                      </w:r>
                      <w:r>
                        <w:t xml:space="preserve">BIC/SWIFT:   </w:t>
                      </w:r>
                    </w:p>
                    <w:p w14:paraId="32A86DC1" w14:textId="1CA5B591" w:rsidR="009C50B1" w:rsidRDefault="009C50B1" w:rsidP="009C50B1">
                      <w:pPr>
                        <w:pStyle w:val="Textoindependiente"/>
                        <w:tabs>
                          <w:tab w:val="left" w:pos="3742"/>
                        </w:tabs>
                        <w:spacing w:before="8"/>
                        <w:ind w:left="142"/>
                      </w:pPr>
                      <w:r>
                        <w:t>Código</w:t>
                      </w:r>
                      <w:r>
                        <w:rPr>
                          <w:spacing w:val="2"/>
                        </w:rPr>
                        <w:t xml:space="preserve"> </w:t>
                      </w:r>
                      <w:r>
                        <w:t xml:space="preserve">IBAN: </w:t>
                      </w:r>
                    </w:p>
                  </w:txbxContent>
                </v:textbox>
                <w10:wrap type="topAndBottom" anchorx="page"/>
              </v:shape>
            </w:pict>
          </mc:Fallback>
        </mc:AlternateContent>
      </w:r>
    </w:p>
    <w:p w14:paraId="509E8889" w14:textId="77777777" w:rsidR="002240A0" w:rsidRDefault="002240A0" w:rsidP="00A16953">
      <w:pPr>
        <w:spacing w:after="120"/>
        <w:jc w:val="both"/>
        <w:rPr>
          <w:sz w:val="24"/>
          <w:szCs w:val="24"/>
          <w:lang w:val="es-ES_tradnl"/>
        </w:rPr>
      </w:pPr>
    </w:p>
    <w:p w14:paraId="664E4DF2" w14:textId="712C6EAB"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B65825" w:rsidRDefault="00A16953" w:rsidP="00B65825">
      <w:pPr>
        <w:pStyle w:val="Prrafodelista"/>
        <w:numPr>
          <w:ilvl w:val="0"/>
          <w:numId w:val="8"/>
        </w:numPr>
        <w:spacing w:after="120"/>
        <w:jc w:val="both"/>
        <w:rPr>
          <w:sz w:val="24"/>
          <w:szCs w:val="24"/>
          <w:lang w:val="es-ES_tradnl"/>
        </w:rPr>
      </w:pPr>
      <w:r w:rsidRPr="00B65825">
        <w:rPr>
          <w:sz w:val="24"/>
          <w:szCs w:val="24"/>
          <w:lang w:val="es-ES_tradnl"/>
        </w:rPr>
        <w:lastRenderedPageBreak/>
        <w:t>Condiciones</w:t>
      </w:r>
    </w:p>
    <w:p w14:paraId="46993163" w14:textId="76AB07B0" w:rsidR="00A16953" w:rsidRPr="00B65825" w:rsidRDefault="00A16953" w:rsidP="00B65825">
      <w:pPr>
        <w:pStyle w:val="Prrafodelista"/>
        <w:numPr>
          <w:ilvl w:val="0"/>
          <w:numId w:val="8"/>
        </w:numPr>
        <w:spacing w:after="120"/>
        <w:rPr>
          <w:sz w:val="24"/>
          <w:szCs w:val="24"/>
          <w:lang w:val="es-ES_tradnl"/>
        </w:rPr>
      </w:pPr>
      <w:r w:rsidRPr="00B65825">
        <w:rPr>
          <w:sz w:val="24"/>
          <w:szCs w:val="24"/>
          <w:lang w:val="es-ES_tradnl"/>
        </w:rPr>
        <w:t xml:space="preserve">Anexo 1: Acuerdo de Aprendizaje Erasmus+ para la movilidad de estudiantes para estudios </w:t>
      </w:r>
      <w:r w:rsidR="00B65825" w:rsidRPr="00B65825">
        <w:rPr>
          <w:sz w:val="24"/>
          <w:szCs w:val="24"/>
          <w:lang w:val="es-ES_tradnl"/>
        </w:rPr>
        <w:t>(Learning Agreement)</w:t>
      </w:r>
    </w:p>
    <w:p w14:paraId="7E088E7C" w14:textId="776A548C" w:rsidR="00A16953" w:rsidRPr="00B65825" w:rsidRDefault="00A16953" w:rsidP="00B65825">
      <w:pPr>
        <w:pStyle w:val="Prrafodelista"/>
        <w:numPr>
          <w:ilvl w:val="0"/>
          <w:numId w:val="8"/>
        </w:numPr>
        <w:spacing w:after="120"/>
        <w:rPr>
          <w:sz w:val="24"/>
          <w:szCs w:val="24"/>
          <w:lang w:val="es-ES_tradnl"/>
        </w:rPr>
      </w:pPr>
      <w:r w:rsidRPr="00B65825">
        <w:rPr>
          <w:sz w:val="24"/>
          <w:szCs w:val="24"/>
          <w:lang w:val="es-ES_tradnl"/>
        </w:rPr>
        <w:t>Anexo 2: Carta del Estudiante Erasmus</w:t>
      </w:r>
    </w:p>
    <w:p w14:paraId="294F1DFD" w14:textId="77777777" w:rsidR="00A16953" w:rsidRPr="008B395F" w:rsidRDefault="00A16953" w:rsidP="00A16953">
      <w:pPr>
        <w:jc w:val="both"/>
        <w:rPr>
          <w:sz w:val="24"/>
          <w:szCs w:val="24"/>
          <w:lang w:val="es-ES_tradnl"/>
        </w:rPr>
      </w:pPr>
      <w:r w:rsidRPr="008B395F">
        <w:rPr>
          <w:sz w:val="24"/>
          <w:szCs w:val="24"/>
          <w:lang w:val="es-ES_tradnl"/>
        </w:rPr>
        <w:t xml:space="preserve"> </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6CE8D7B1" w:rsidR="00A16953" w:rsidRPr="008B395F" w:rsidRDefault="00A16953" w:rsidP="00A16953">
      <w:pPr>
        <w:jc w:val="both"/>
        <w:rPr>
          <w:lang w:val="es-ES_tradnl"/>
        </w:rPr>
      </w:pPr>
      <w:r w:rsidRPr="008B395F">
        <w:rPr>
          <w:lang w:val="es-ES_tradnl"/>
        </w:rPr>
        <w:t>El importe total incluirá</w:t>
      </w:r>
      <w:r w:rsidR="00271699">
        <w:rPr>
          <w:lang w:val="es-ES_tradnl"/>
        </w:rPr>
        <w:t>:</w:t>
      </w:r>
    </w:p>
    <w:p w14:paraId="2DC1161E" w14:textId="77777777" w:rsidR="00A16953" w:rsidRPr="008B395F" w:rsidRDefault="00A16953" w:rsidP="00A16953">
      <w:pPr>
        <w:jc w:val="both"/>
        <w:rPr>
          <w:sz w:val="22"/>
          <w:szCs w:val="22"/>
          <w:lang w:val="es-ES_tradnl"/>
        </w:rPr>
      </w:pPr>
    </w:p>
    <w:p w14:paraId="637A4B6C" w14:textId="42EB9BAA" w:rsidR="00A16953" w:rsidRPr="008B395F" w:rsidRDefault="001E45D7" w:rsidP="00A16953">
      <w:pPr>
        <w:jc w:val="both"/>
        <w:rPr>
          <w:lang w:val="es-ES_tradnl"/>
        </w:rPr>
      </w:pPr>
      <w:r w:rsidRPr="001E45D7">
        <w:rPr>
          <w:rFonts w:ascii="MS Gothic" w:eastAsia="MS Gothic" w:hAnsi="MS Gothic" w:cs="MS Gothic"/>
          <w:b/>
          <w:bCs/>
          <w:lang w:val="es-ES_tradnl"/>
        </w:rPr>
        <w:t>X</w:t>
      </w:r>
      <w:r w:rsidR="00271699" w:rsidRPr="00271699">
        <w:rPr>
          <w:rFonts w:ascii="MS Gothic" w:eastAsia="MS Gothic" w:hAnsi="MS Gothic" w:cs="MS Gothic"/>
          <w:b/>
          <w:bCs/>
          <w:lang w:val="es-ES_tradnl"/>
        </w:rPr>
        <w:t xml:space="preserve"> </w:t>
      </w:r>
      <w:r w:rsidR="00A16953" w:rsidRPr="008B395F">
        <w:rPr>
          <w:lang w:val="es-ES_tradnl"/>
        </w:rPr>
        <w:t xml:space="preserve"> Importe base del apoyo individual para la movilidad física de </w:t>
      </w:r>
      <w:r w:rsidR="009A1F7E">
        <w:rPr>
          <w:lang w:val="es-ES_tradnl"/>
        </w:rPr>
        <w:t>cort</w:t>
      </w:r>
      <w:r w:rsidR="00A16953" w:rsidRPr="008B395F">
        <w:rPr>
          <w:lang w:val="es-ES_tradnl"/>
        </w:rPr>
        <w:t>a duración</w:t>
      </w:r>
    </w:p>
    <w:p w14:paraId="1F66BAC8"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Ayuda adicional para estudiantes y titulados recientes con menos oportunidades en movilidades de larga duración</w:t>
      </w:r>
    </w:p>
    <w:p w14:paraId="5C32B961" w14:textId="4B8DBF24" w:rsidR="00A16953" w:rsidRPr="008B395F" w:rsidRDefault="00271699" w:rsidP="00A16953">
      <w:pPr>
        <w:jc w:val="both"/>
        <w:rPr>
          <w:lang w:val="es-ES_tradnl"/>
        </w:rPr>
      </w:pPr>
      <w:r w:rsidRPr="00271699">
        <w:rPr>
          <w:rFonts w:ascii="MS Gothic" w:eastAsia="MS Gothic" w:hAnsi="MS Gothic" w:cs="MS Gothic"/>
          <w:b/>
          <w:bCs/>
          <w:lang w:val="es-ES_tradnl"/>
        </w:rPr>
        <w:t xml:space="preserve">X </w:t>
      </w:r>
      <w:r w:rsidR="00A16953" w:rsidRPr="00271699">
        <w:rPr>
          <w:b/>
          <w:bCs/>
          <w:lang w:val="es-ES_tradnl"/>
        </w:rPr>
        <w:t xml:space="preserve"> </w:t>
      </w:r>
      <w:r w:rsidR="00A16953" w:rsidRPr="008B395F">
        <w:rPr>
          <w:lang w:val="es-ES_tradnl"/>
        </w:rPr>
        <w:t xml:space="preserve">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20FE9E86"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60CAC93D" w:rsidR="00A16953" w:rsidRPr="008B395F" w:rsidRDefault="00A16953" w:rsidP="00A16953">
      <w:pPr>
        <w:jc w:val="both"/>
        <w:rPr>
          <w:lang w:val="es-ES_tradnl"/>
        </w:rPr>
      </w:pPr>
      <w:r w:rsidRPr="008B395F">
        <w:rPr>
          <w:lang w:val="es-ES_tradnl"/>
        </w:rPr>
        <w:t>El participante recibirá</w:t>
      </w:r>
      <w:r w:rsidR="00271699">
        <w:rPr>
          <w:lang w:val="es-ES_tradnl"/>
        </w:rPr>
        <w:t>:</w:t>
      </w:r>
    </w:p>
    <w:p w14:paraId="24AFE97A" w14:textId="2EA7460F" w:rsidR="00A16953" w:rsidRPr="008B395F" w:rsidRDefault="00271699" w:rsidP="00A16953">
      <w:pPr>
        <w:jc w:val="both"/>
        <w:rPr>
          <w:lang w:val="es-ES_tradnl"/>
        </w:rPr>
      </w:pPr>
      <w:r w:rsidRPr="00271699">
        <w:rPr>
          <w:rFonts w:ascii="MS Gothic" w:eastAsia="MS Gothic" w:hAnsi="MS Gothic" w:cs="MS Gothic"/>
          <w:b/>
          <w:bCs/>
          <w:lang w:val="es-ES_tradnl"/>
        </w:rPr>
        <w:t xml:space="preserve">X </w:t>
      </w:r>
      <w:r w:rsidR="00A16953" w:rsidRPr="00271699">
        <w:rPr>
          <w:b/>
          <w:bCs/>
          <w:lang w:val="es-ES_tradnl"/>
        </w:rPr>
        <w:t xml:space="preserve"> </w:t>
      </w:r>
      <w:r w:rsidR="00A16953"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6237759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p>
    <w:p w14:paraId="78A27B9D" w14:textId="77777777" w:rsidR="00A16953" w:rsidRPr="008B395F" w:rsidRDefault="00A16953" w:rsidP="00A16953">
      <w:pPr>
        <w:jc w:val="both"/>
        <w:rPr>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6BBCA6A7"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w:t>
      </w:r>
      <w:r w:rsidR="00271699">
        <w:rPr>
          <w:sz w:val="24"/>
          <w:szCs w:val="24"/>
          <w:lang w:val="es-ES_tradnl"/>
        </w:rPr>
        <w:t>no antes del 1 de agosto de 2024</w:t>
      </w:r>
      <w:r w:rsidRPr="008B395F">
        <w:rPr>
          <w:sz w:val="24"/>
          <w:szCs w:val="24"/>
          <w:lang w:val="es-ES_tradnl"/>
        </w:rPr>
        <w:t xml:space="preserve"> y finalizará </w:t>
      </w:r>
      <w:r w:rsidR="00271699">
        <w:rPr>
          <w:sz w:val="24"/>
          <w:szCs w:val="24"/>
          <w:lang w:val="es-ES_tradnl"/>
        </w:rPr>
        <w:t>no más tarde del 30 de septiembre de 2025</w:t>
      </w:r>
    </w:p>
    <w:p w14:paraId="155AE634" w14:textId="614AB47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1E5B6444" w:rsidR="00A16953"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 xml:space="preserve">un periodo de movilidad física entre el </w:t>
      </w:r>
      <w:r w:rsidR="00271699">
        <w:rPr>
          <w:rFonts w:ascii="Times New Roman" w:hAnsi="Times New Roman" w:cs="Times New Roman"/>
          <w:sz w:val="24"/>
          <w:szCs w:val="24"/>
          <w:lang w:val="es-ES_tradnl"/>
        </w:rPr>
        <w:t xml:space="preserve">1 de agosto de 2024 y el 30 de septiembre de 2025 </w:t>
      </w:r>
      <w:r w:rsidRPr="008B395F">
        <w:rPr>
          <w:rFonts w:ascii="Times New Roman" w:hAnsi="Times New Roman" w:cs="Times New Roman"/>
          <w:sz w:val="24"/>
          <w:szCs w:val="24"/>
          <w:lang w:val="es-ES_tradnl"/>
        </w:rPr>
        <w:t xml:space="preserve">igual a </w:t>
      </w:r>
      <w:r w:rsidRPr="001E45D7">
        <w:rPr>
          <w:rFonts w:ascii="Times New Roman" w:hAnsi="Times New Roman" w:cs="Times New Roman"/>
          <w:b/>
          <w:bCs/>
          <w:sz w:val="24"/>
          <w:szCs w:val="24"/>
          <w:lang w:val="es-ES_tradnl"/>
        </w:rPr>
        <w:t>X</w:t>
      </w:r>
      <w:r w:rsidR="00271699">
        <w:rPr>
          <w:rFonts w:ascii="Times New Roman" w:hAnsi="Times New Roman" w:cs="Times New Roman"/>
          <w:sz w:val="24"/>
          <w:szCs w:val="24"/>
          <w:lang w:val="es-ES_tradnl"/>
        </w:rPr>
        <w:t xml:space="preserve"> </w:t>
      </w:r>
      <w:r w:rsidRPr="008B395F">
        <w:rPr>
          <w:rFonts w:ascii="Times New Roman" w:hAnsi="Times New Roman" w:cs="Times New Roman"/>
          <w:sz w:val="24"/>
          <w:szCs w:val="24"/>
          <w:lang w:val="es-ES_tradnl"/>
        </w:rPr>
        <w:t>días de movilidad</w:t>
      </w:r>
    </w:p>
    <w:p w14:paraId="0BA97157" w14:textId="42971593" w:rsidR="00271699" w:rsidRPr="00404289" w:rsidRDefault="00404289" w:rsidP="00404289">
      <w:pPr>
        <w:spacing w:after="120"/>
        <w:ind w:left="567" w:hanging="567"/>
        <w:jc w:val="both"/>
        <w:rPr>
          <w:sz w:val="24"/>
          <w:szCs w:val="24"/>
          <w:lang w:val="es-ES_tradnl"/>
        </w:rPr>
      </w:pPr>
      <w:r>
        <w:rPr>
          <w:sz w:val="24"/>
          <w:szCs w:val="24"/>
          <w:lang w:val="es-ES_tradnl"/>
        </w:rPr>
        <w:t>2.3</w:t>
      </w:r>
      <w:r>
        <w:rPr>
          <w:sz w:val="24"/>
          <w:szCs w:val="24"/>
          <w:lang w:val="es-ES_tradnl"/>
        </w:rPr>
        <w:tab/>
      </w:r>
      <w:r w:rsidRPr="00404289">
        <w:rPr>
          <w:sz w:val="24"/>
          <w:szCs w:val="24"/>
          <w:lang w:val="es-ES_tradnl"/>
        </w:rPr>
        <w:t>El número de días se calculará con e</w:t>
      </w:r>
      <w:r w:rsidR="00271699" w:rsidRPr="00404289">
        <w:rPr>
          <w:sz w:val="24"/>
          <w:szCs w:val="24"/>
          <w:lang w:val="es-ES_tradnl"/>
        </w:rPr>
        <w:t xml:space="preserve">l Certificado de estancia </w:t>
      </w:r>
      <w:r w:rsidRPr="00404289">
        <w:rPr>
          <w:sz w:val="24"/>
          <w:szCs w:val="24"/>
          <w:lang w:val="es-ES_tradnl"/>
        </w:rPr>
        <w:t>(Letter 1 y Letter 2), que deberá indicar las fechas confirmadas del inicio y finalización de la duración del periodo de movilidad, incluyendo el componente virtual (si lo hubiera).</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cláusula 3 – ayuda FInanciera</w:t>
      </w:r>
    </w:p>
    <w:p w14:paraId="18078667" w14:textId="48F9AC2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9E77CA" w:rsidRPr="001E45D7">
        <w:rPr>
          <w:sz w:val="24"/>
          <w:szCs w:val="24"/>
          <w:lang w:val="es-ES_tradnl"/>
        </w:rPr>
        <w:t>2024</w:t>
      </w:r>
      <w:r w:rsidRPr="001E45D7">
        <w:rPr>
          <w:sz w:val="24"/>
          <w:szCs w:val="24"/>
          <w:lang w:val="es-ES_tradnl"/>
        </w:rPr>
        <w:t>].</w:t>
      </w:r>
    </w:p>
    <w:p w14:paraId="73BBD8E9" w14:textId="040382F9" w:rsidR="00A16953" w:rsidRPr="008B395F" w:rsidRDefault="00A16953" w:rsidP="00A16953">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t>El participante recibirá una ayuda financiera de fondos Erasmus+ de la UE por</w:t>
      </w:r>
      <w:r w:rsidR="001E45D7">
        <w:rPr>
          <w:sz w:val="24"/>
          <w:szCs w:val="24"/>
          <w:lang w:val="es-ES_tradnl"/>
        </w:rPr>
        <w:t xml:space="preserve"> </w:t>
      </w:r>
      <w:r w:rsidR="001E45D7" w:rsidRPr="001E45D7">
        <w:rPr>
          <w:b/>
          <w:bCs/>
          <w:sz w:val="24"/>
          <w:szCs w:val="24"/>
          <w:lang w:val="es-ES_tradnl"/>
        </w:rPr>
        <w:t>X</w:t>
      </w:r>
      <w:r w:rsidRPr="001E45D7">
        <w:rPr>
          <w:b/>
          <w:bCs/>
          <w:sz w:val="24"/>
          <w:szCs w:val="24"/>
          <w:lang w:val="es-ES_tradnl"/>
        </w:rPr>
        <w:t xml:space="preserve"> </w:t>
      </w:r>
      <w:r w:rsidRPr="008B395F">
        <w:rPr>
          <w:sz w:val="24"/>
          <w:szCs w:val="24"/>
          <w:lang w:val="es-ES_tradnl"/>
        </w:rPr>
        <w:t xml:space="preserve">días. </w:t>
      </w:r>
    </w:p>
    <w:p w14:paraId="087D4507" w14:textId="50EF8D14"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w:t>
      </w:r>
      <w:r w:rsidR="001E45D7">
        <w:rPr>
          <w:sz w:val="24"/>
          <w:szCs w:val="24"/>
          <w:lang w:val="es-ES_tradnl"/>
        </w:rPr>
        <w:t xml:space="preserve">. </w:t>
      </w:r>
      <w:r w:rsidRPr="008B395F">
        <w:rPr>
          <w:sz w:val="24"/>
          <w:szCs w:val="24"/>
          <w:lang w:val="es-ES_tradnl"/>
        </w:rPr>
        <w:t xml:space="preserve">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2F59CC58" w14:textId="4AF53418" w:rsidR="001E45D7" w:rsidRDefault="00A16953" w:rsidP="000F0BE1">
      <w:pPr>
        <w:spacing w:after="120"/>
        <w:ind w:left="567" w:hanging="567"/>
        <w:jc w:val="both"/>
        <w:rPr>
          <w:iCs/>
          <w:sz w:val="24"/>
          <w:szCs w:val="24"/>
          <w:lang w:val="es-ES_tradnl"/>
        </w:rPr>
      </w:pPr>
      <w:r w:rsidRPr="008B395F">
        <w:rPr>
          <w:sz w:val="24"/>
          <w:szCs w:val="24"/>
          <w:lang w:val="es-ES_tradnl"/>
        </w:rPr>
        <w:t xml:space="preserve">3.4 </w:t>
      </w:r>
      <w:r w:rsidRPr="008B395F">
        <w:rPr>
          <w:sz w:val="24"/>
          <w:szCs w:val="24"/>
          <w:lang w:val="es-ES_tradnl"/>
        </w:rPr>
        <w:tab/>
      </w:r>
      <w:r w:rsidR="000F0BE1" w:rsidRPr="000F0BE1">
        <w:rPr>
          <w:sz w:val="24"/>
          <w:szCs w:val="24"/>
          <w:lang w:val="es-ES_tradnl"/>
        </w:rPr>
        <w:t>El importe total del periodo de movilidad será de ……… EUR, que corresponden a … EUR por día y … EUR por días adicionales. A los estudiantes con obstáculos económicos, se les abonará la cantidad adicional de        .</w:t>
      </w:r>
    </w:p>
    <w:p w14:paraId="6CD31308" w14:textId="018670EA" w:rsidR="00F42488" w:rsidRPr="00F42488" w:rsidRDefault="00F42488" w:rsidP="00F42488">
      <w:pPr>
        <w:spacing w:after="120"/>
        <w:ind w:left="567"/>
        <w:jc w:val="both"/>
        <w:rPr>
          <w:iCs/>
          <w:sz w:val="24"/>
          <w:szCs w:val="24"/>
          <w:lang w:val="es-ES_tradnl"/>
        </w:rPr>
      </w:pPr>
      <w:r>
        <w:rPr>
          <w:iCs/>
          <w:sz w:val="24"/>
          <w:szCs w:val="24"/>
          <w:lang w:val="es-ES_tradnl"/>
        </w:rPr>
        <w:t>La ayuda de viaje se calculará en función de bandas de distancia entre la Universidad de Valladolid y l</w:t>
      </w:r>
      <w:r w:rsidR="000F0BE1">
        <w:rPr>
          <w:iCs/>
          <w:sz w:val="24"/>
          <w:szCs w:val="24"/>
          <w:lang w:val="es-ES_tradnl"/>
        </w:rPr>
        <w:t xml:space="preserve">a ciudad donde se ubique la institución de destino: </w:t>
      </w:r>
    </w:p>
    <w:p w14:paraId="37ADB483" w14:textId="0AEB1DDF" w:rsidR="00F42488" w:rsidRPr="001E45D7" w:rsidRDefault="000F0BE1" w:rsidP="00F42488">
      <w:pPr>
        <w:spacing w:after="120"/>
        <w:ind w:left="567"/>
        <w:jc w:val="both"/>
        <w:rPr>
          <w:iCs/>
          <w:sz w:val="24"/>
          <w:szCs w:val="24"/>
          <w:lang w:val="es-ES_tradnl"/>
        </w:rPr>
      </w:pPr>
      <w:hyperlink r:id="rId9" w:history="1">
        <w:r w:rsidRPr="00297808">
          <w:rPr>
            <w:rStyle w:val="Hipervnculo"/>
            <w:iCs/>
            <w:sz w:val="24"/>
            <w:szCs w:val="24"/>
            <w:lang w:val="es-ES_tradnl"/>
          </w:rPr>
          <w:t>http://www.sepie.es/doc/comunicacion/publicaciones/2024/ayudas_erasmus_2024_educacion_superior_ka131.pdf</w:t>
        </w:r>
      </w:hyperlink>
      <w:r>
        <w:rPr>
          <w:iCs/>
          <w:sz w:val="24"/>
          <w:szCs w:val="24"/>
          <w:lang w:val="es-ES_tradnl"/>
        </w:rPr>
        <w:t xml:space="preserve"> </w:t>
      </w:r>
    </w:p>
    <w:p w14:paraId="65FD46A8" w14:textId="31BCCB93"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3.5</w:t>
      </w:r>
      <w:r w:rsidRPr="008B395F">
        <w:rPr>
          <w:sz w:val="24"/>
          <w:szCs w:val="24"/>
          <w:lang w:val="es-ES_tradnl"/>
        </w:rPr>
        <w:tab/>
        <w:t>La contribución a los gastos incurridos en relación con necesidades del viaje o de inclusión</w:t>
      </w:r>
      <w:r w:rsidR="006615DE">
        <w:rPr>
          <w:sz w:val="24"/>
          <w:szCs w:val="24"/>
          <w:lang w:val="es-ES_tradnl"/>
        </w:rPr>
        <w:t xml:space="preserve">: </w:t>
      </w:r>
      <w:r w:rsidRPr="006615DE">
        <w:rPr>
          <w:sz w:val="24"/>
          <w:szCs w:val="24"/>
          <w:lang w:val="es-ES_tradnl"/>
        </w:rPr>
        <w:t>apoyo a la inclusión, costes excepcionales por gastos de viaje onerosos, apoyo de viaje, ayuda adicional para menos oportunidades,</w:t>
      </w:r>
      <w:r w:rsidRPr="008B395F">
        <w:rPr>
          <w:sz w:val="24"/>
          <w:szCs w:val="24"/>
          <w:lang w:val="es-ES_tradnl"/>
        </w:rPr>
        <w:t xml:space="preserve"> se basará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222D9531" w14:textId="3AE68BB6" w:rsidR="006615DE" w:rsidRPr="006615DE" w:rsidRDefault="00470812" w:rsidP="006615DE">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5 – </w:t>
      </w:r>
      <w:r w:rsidR="00A16953" w:rsidRPr="008B395F">
        <w:rPr>
          <w:rFonts w:eastAsiaTheme="majorEastAsia"/>
          <w:b/>
          <w:bCs/>
          <w:iCs/>
          <w:caps/>
          <w:szCs w:val="22"/>
          <w:lang w:val="es-ES_tradnl" w:eastAsia="en-US"/>
        </w:rPr>
        <w:t>modalidades de Pago</w:t>
      </w:r>
    </w:p>
    <w:p w14:paraId="12BD2D50" w14:textId="49C13438" w:rsidR="00A16953" w:rsidRPr="006615DE" w:rsidRDefault="000A497B" w:rsidP="006615DE">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t xml:space="preserve">Se realizará un pago al participante </w:t>
      </w:r>
      <w:r w:rsidR="006615DE">
        <w:rPr>
          <w:sz w:val="24"/>
          <w:szCs w:val="24"/>
          <w:lang w:val="es-ES_tradnl"/>
        </w:rPr>
        <w:t>t</w:t>
      </w:r>
      <w:r w:rsidR="00A16953" w:rsidRPr="008B395F">
        <w:rPr>
          <w:sz w:val="24"/>
          <w:szCs w:val="24"/>
          <w:lang w:val="es-ES_tradnl"/>
        </w:rPr>
        <w:t>ras la recepción de la confirmación de la llegada.</w:t>
      </w:r>
    </w:p>
    <w:p w14:paraId="3747EB68" w14:textId="38D74B8D" w:rsidR="00A16953" w:rsidRPr="008B395F" w:rsidRDefault="00A16953" w:rsidP="006615DE">
      <w:pPr>
        <w:spacing w:after="120"/>
        <w:ind w:left="567"/>
        <w:jc w:val="both"/>
        <w:rPr>
          <w:sz w:val="24"/>
          <w:szCs w:val="24"/>
          <w:lang w:val="es-ES_tradnl"/>
        </w:rPr>
      </w:pPr>
      <w:r w:rsidRPr="008B395F">
        <w:rPr>
          <w:sz w:val="24"/>
          <w:szCs w:val="24"/>
          <w:lang w:val="es-ES_tradnl"/>
        </w:rPr>
        <w:t xml:space="preserve">Este pago representará </w:t>
      </w:r>
      <w:r w:rsidRPr="006615DE">
        <w:rPr>
          <w:sz w:val="24"/>
          <w:szCs w:val="24"/>
          <w:lang w:val="es-ES_tradnl"/>
        </w:rPr>
        <w:t>el 70% del</w:t>
      </w:r>
      <w:r w:rsidRPr="008B395F">
        <w:rPr>
          <w:sz w:val="24"/>
          <w:szCs w:val="24"/>
          <w:lang w:val="es-ES_tradnl"/>
        </w:rPr>
        <w:t xml:space="preserve"> importe especificado en la cláusula 3. Cuando el participante no aporte la documentación justificativa en los plazos establecidos por </w:t>
      </w:r>
      <w:r w:rsidRPr="008B395F">
        <w:rPr>
          <w:sz w:val="24"/>
          <w:szCs w:val="24"/>
          <w:lang w:val="es-ES_tradnl"/>
        </w:rPr>
        <w:lastRenderedPageBreak/>
        <w:t>la organización beneficiaria, se admitirá excepcionalmente un pago de prefinanciación posterior, basándose en razones justificadas.</w:t>
      </w:r>
    </w:p>
    <w:p w14:paraId="747FB9CC" w14:textId="3BA79F08" w:rsidR="006615DE" w:rsidRPr="002240A0" w:rsidRDefault="000A497B" w:rsidP="002240A0">
      <w:pPr>
        <w:spacing w:after="120"/>
        <w:ind w:left="567" w:hanging="567"/>
        <w:jc w:val="both"/>
        <w:rPr>
          <w:i/>
          <w:color w:val="4AA55B"/>
          <w:sz w:val="24"/>
          <w:szCs w:val="24"/>
          <w:lang w:val="es-ES_tradnl"/>
        </w:rPr>
      </w:pPr>
      <w:r w:rsidRPr="008B395F">
        <w:rPr>
          <w:sz w:val="24"/>
          <w:szCs w:val="24"/>
          <w:lang w:val="es-ES_tradnl"/>
        </w:rPr>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l envío del cuestionario UE (EU survey</w:t>
      </w:r>
      <w:r w:rsidR="00A16953" w:rsidRPr="008B395F">
        <w:rPr>
          <w:sz w:val="24"/>
          <w:szCs w:val="24"/>
          <w:lang w:val="es-ES_tradnl"/>
        </w:rPr>
        <w:t xml:space="preserve">) en línea se considerará como la solicitud del participante del pago del saldo de la ayuda financiera. La organización dispondrá de </w:t>
      </w:r>
      <w:r w:rsidR="00A16953" w:rsidRPr="008E5879">
        <w:rPr>
          <w:sz w:val="24"/>
          <w:szCs w:val="24"/>
          <w:lang w:val="es-ES_tradnl"/>
        </w:rPr>
        <w:t>45</w:t>
      </w:r>
      <w:r w:rsidR="006615DE">
        <w:rPr>
          <w:color w:val="92D050"/>
          <w:sz w:val="24"/>
          <w:szCs w:val="24"/>
          <w:lang w:val="es-ES_tradnl"/>
        </w:rPr>
        <w:t xml:space="preserve"> </w:t>
      </w:r>
      <w:r w:rsidR="00A16953" w:rsidRPr="008E5879">
        <w:rPr>
          <w:sz w:val="24"/>
          <w:szCs w:val="24"/>
          <w:lang w:val="es-ES_tradnl"/>
        </w:rPr>
        <w:t xml:space="preserve">días naturales para realizar el pago del saldo o </w:t>
      </w:r>
      <w:r w:rsidR="00A16953" w:rsidRPr="008B395F">
        <w:rPr>
          <w:sz w:val="24"/>
          <w:szCs w:val="24"/>
          <w:lang w:val="es-ES_tradnl"/>
        </w:rPr>
        <w:t>emitir una orden de recuperación de fondos en el caso en que proceda reembolso.</w:t>
      </w:r>
    </w:p>
    <w:p w14:paraId="03853569" w14:textId="409378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salvo si se acordaran otros términos 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3D4430DD"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0FA9A837" w14:textId="17695EB2" w:rsidR="002240A0" w:rsidRPr="008B395F" w:rsidRDefault="000A497B" w:rsidP="000F0BE1">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0F0BE1" w:rsidRPr="000F0BE1">
        <w:rPr>
          <w:bCs/>
          <w:sz w:val="24"/>
          <w:szCs w:val="24"/>
          <w:lang w:val="es-ES_tradnl"/>
        </w:rPr>
        <w:t>Seguro médico: El estudiante es responsable de llevar la cobertura sanitaria válida dentro de la UE (tarjeta europea o seguro privado).</w:t>
      </w:r>
    </w:p>
    <w:p w14:paraId="07B32645" w14:textId="7C691667" w:rsidR="00E200FA" w:rsidRPr="008B395F" w:rsidRDefault="000A497B" w:rsidP="002240A0">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r>
      <w:r w:rsidR="000F0BE1" w:rsidRPr="000F0BE1">
        <w:rPr>
          <w:sz w:val="24"/>
          <w:szCs w:val="24"/>
          <w:lang w:val="es-ES_tradnl"/>
        </w:rPr>
        <w:t>La Universidad de Valladolid ha suscrito un seguro para los estudiantes que disfrutan de una movilidad.</w:t>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0303F3C0" w14:textId="6FA7CABE" w:rsidR="00A16953" w:rsidRPr="008B395F" w:rsidRDefault="000A497B" w:rsidP="008B395F">
      <w:pPr>
        <w:spacing w:after="120"/>
        <w:ind w:left="720" w:hanging="720"/>
        <w:jc w:val="both"/>
        <w:rPr>
          <w:sz w:val="24"/>
          <w:szCs w:val="24"/>
          <w:lang w:val="es-ES_tradnl"/>
        </w:rPr>
      </w:pPr>
      <w:r w:rsidRPr="008B395F">
        <w:rPr>
          <w:sz w:val="24"/>
          <w:szCs w:val="24"/>
          <w:lang w:val="es-ES_tradnl"/>
        </w:rPr>
        <w:t>8</w:t>
      </w:r>
      <w:r w:rsidR="00A16953" w:rsidRPr="008B395F">
        <w:rPr>
          <w:sz w:val="24"/>
          <w:szCs w:val="24"/>
          <w:lang w:val="es-ES_tradnl"/>
        </w:rPr>
        <w:t>.2</w:t>
      </w:r>
      <w:r w:rsidR="00A16953" w:rsidRPr="008B395F">
        <w:rPr>
          <w:sz w:val="24"/>
          <w:szCs w:val="24"/>
          <w:lang w:val="es-ES_tradnl"/>
        </w:rPr>
        <w:tab/>
        <w:t xml:space="preserve">El nivel de competencia lingüística en </w:t>
      </w:r>
      <w:r w:rsidR="00E200FA">
        <w:rPr>
          <w:sz w:val="24"/>
          <w:szCs w:val="24"/>
          <w:lang w:val="es-ES_tradnl"/>
        </w:rPr>
        <w:t xml:space="preserve">(idioma)………. </w:t>
      </w:r>
      <w:r w:rsidR="00A16953" w:rsidRPr="008B395F">
        <w:rPr>
          <w:sz w:val="24"/>
          <w:szCs w:val="24"/>
          <w:lang w:val="es-ES_tradnl"/>
        </w:rPr>
        <w:t>que el participante posee o que se compromete a obtener en el momento de iniciar su movilidad es: A1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A2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C2</w:t>
      </w:r>
      <w:r w:rsidR="00A16953" w:rsidRPr="008B395F">
        <w:rPr>
          <w:rFonts w:ascii="MS Gothic" w:eastAsia="MS Gothic" w:hAnsi="MS Gothic" w:cs="MS Gothic"/>
          <w:sz w:val="24"/>
          <w:szCs w:val="24"/>
          <w:lang w:val="es-ES_tradnl"/>
        </w:rPr>
        <w:t>☐</w:t>
      </w:r>
      <w:r w:rsidR="00A16953" w:rsidRPr="008B395F">
        <w:rPr>
          <w:rFonts w:eastAsia="MS Gothic"/>
          <w:sz w:val="24"/>
          <w:szCs w:val="24"/>
          <w:lang w:val="es-ES_tradnl"/>
        </w:rPr>
        <w:t>.</w:t>
      </w:r>
      <w:r w:rsidR="00A16953" w:rsidRPr="008B395F">
        <w:rPr>
          <w:sz w:val="24"/>
          <w:szCs w:val="24"/>
          <w:lang w:val="es-ES_tradnl"/>
        </w:rPr>
        <w:t xml:space="preserve"> </w:t>
      </w: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36D9A008" w14:textId="335FA8B6"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El participante deberá cumplimentar y enviar el informe final sobre su experiencia de movilidad (a través de la herramienta en línea EU Survey) en los</w:t>
      </w:r>
      <w:r w:rsidR="00E200FA">
        <w:rPr>
          <w:sz w:val="24"/>
          <w:szCs w:val="24"/>
          <w:lang w:val="es-ES_tradnl"/>
        </w:rPr>
        <w:t xml:space="preserve"> </w:t>
      </w:r>
      <w:r w:rsidR="00A16953" w:rsidRPr="008B395F">
        <w:rPr>
          <w:sz w:val="24"/>
          <w:szCs w:val="24"/>
          <w:lang w:val="es-ES_tradnl"/>
        </w:rPr>
        <w:t xml:space="preserve">30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1D33594A" w14:textId="77D81C7D"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Se le podrá enviar al participante un cuestionario complementario en línea que permita recabar información completa sobre asuntos relacionados con el reconocimiento.</w:t>
      </w:r>
      <w:r w:rsidR="008A6826" w:rsidRPr="008B395F">
        <w:rPr>
          <w:i/>
          <w:color w:val="4AA55B"/>
          <w:sz w:val="24"/>
          <w:szCs w:val="24"/>
          <w:lang w:val="es-ES_tradnl"/>
        </w:rPr>
        <w:t xml:space="preserve"> </w:t>
      </w: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(UE) nº 2018/1725</w:t>
      </w:r>
      <w:r w:rsidR="008C7366" w:rsidRPr="008E5879">
        <w:rPr>
          <w:rStyle w:val="Refdenotaalpie"/>
          <w:bCs/>
          <w:sz w:val="24"/>
          <w:szCs w:val="24"/>
          <w:vertAlign w:val="superscript"/>
          <w:lang w:val="es-ES_tradnl" w:eastAsia="es-ES"/>
        </w:rPr>
        <w:footnoteReference w:id="1"/>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10"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lastRenderedPageBreak/>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60486966" w14:textId="482059C7" w:rsidR="004D117B" w:rsidRPr="008B395F" w:rsidRDefault="001E497A">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r w:rsidR="004D117B" w:rsidRPr="008B395F">
        <w:rPr>
          <w:b/>
          <w:sz w:val="24"/>
          <w:szCs w:val="24"/>
          <w:lang w:val="es-ES_tradnl"/>
        </w:rPr>
        <w:br w:type="page"/>
      </w:r>
    </w:p>
    <w:p w14:paraId="550068F0" w14:textId="77777777" w:rsidR="00A16953" w:rsidRPr="008B395F" w:rsidRDefault="00A16953" w:rsidP="00A16953">
      <w:pPr>
        <w:ind w:left="5812" w:hanging="5812"/>
        <w:rPr>
          <w:sz w:val="24"/>
          <w:szCs w:val="24"/>
          <w:lang w:val="es-ES_tradnl"/>
        </w:rPr>
      </w:pPr>
      <w:r w:rsidRPr="008B395F">
        <w:rPr>
          <w:sz w:val="24"/>
          <w:szCs w:val="24"/>
          <w:lang w:val="es-ES_tradnl"/>
        </w:rPr>
        <w:lastRenderedPageBreak/>
        <w:t>FIRMAS</w:t>
      </w:r>
    </w:p>
    <w:p w14:paraId="0BC694D6" w14:textId="77777777" w:rsidR="00A16953" w:rsidRPr="008B395F" w:rsidRDefault="00A16953" w:rsidP="00A16953">
      <w:pPr>
        <w:ind w:left="5812" w:hanging="5812"/>
        <w:rPr>
          <w:sz w:val="24"/>
          <w:szCs w:val="24"/>
          <w:lang w:val="es-ES_tradnl"/>
        </w:rPr>
      </w:pPr>
    </w:p>
    <w:p w14:paraId="250BCECF" w14:textId="77777777" w:rsidR="00E200FA" w:rsidRDefault="00A16953" w:rsidP="00A16953">
      <w:pPr>
        <w:tabs>
          <w:tab w:val="left" w:pos="5670"/>
        </w:tabs>
        <w:rPr>
          <w:sz w:val="24"/>
          <w:szCs w:val="24"/>
          <w:lang w:val="es-ES_tradnl"/>
        </w:rPr>
      </w:pPr>
      <w:r w:rsidRPr="008B395F">
        <w:rPr>
          <w:sz w:val="24"/>
          <w:szCs w:val="24"/>
          <w:lang w:val="es-ES_tradnl"/>
        </w:rPr>
        <w:t xml:space="preserve">Por el participante  </w:t>
      </w:r>
      <w:r w:rsidR="00E200FA">
        <w:rPr>
          <w:sz w:val="24"/>
          <w:szCs w:val="24"/>
          <w:lang w:val="es-ES_tradnl"/>
        </w:rPr>
        <w:t xml:space="preserve">                                             </w:t>
      </w:r>
      <w:r w:rsidRPr="008B395F">
        <w:rPr>
          <w:sz w:val="24"/>
          <w:szCs w:val="24"/>
          <w:lang w:val="es-ES_tradnl"/>
        </w:rPr>
        <w:t xml:space="preserve">Por la </w:t>
      </w:r>
      <w:r w:rsidR="00E200FA">
        <w:rPr>
          <w:sz w:val="24"/>
          <w:szCs w:val="24"/>
          <w:lang w:val="es-ES_tradnl"/>
        </w:rPr>
        <w:t>Universidad de Valladolid</w:t>
      </w:r>
    </w:p>
    <w:p w14:paraId="638EB47E" w14:textId="0BFA0516" w:rsidR="00A16953" w:rsidRPr="00E200FA" w:rsidRDefault="00E200FA" w:rsidP="00A16953">
      <w:pPr>
        <w:tabs>
          <w:tab w:val="left" w:pos="5670"/>
        </w:tabs>
        <w:rPr>
          <w:sz w:val="24"/>
          <w:szCs w:val="24"/>
          <w:lang w:val="es-ES_tradnl"/>
        </w:rPr>
      </w:pPr>
      <w:r>
        <w:rPr>
          <w:sz w:val="24"/>
          <w:szCs w:val="24"/>
          <w:lang w:val="es-ES_tradnl"/>
        </w:rPr>
        <w:t>(</w:t>
      </w:r>
      <w:r w:rsidRPr="00E200FA">
        <w:rPr>
          <w:sz w:val="24"/>
          <w:szCs w:val="24"/>
          <w:lang w:val="es-ES_tradnl"/>
        </w:rPr>
        <w:t>N</w:t>
      </w:r>
      <w:r w:rsidR="00A16953" w:rsidRPr="00E200FA">
        <w:rPr>
          <w:sz w:val="24"/>
          <w:szCs w:val="24"/>
          <w:lang w:val="es-ES_tradnl"/>
        </w:rPr>
        <w:t>ombre y apellidos</w:t>
      </w:r>
      <w:r>
        <w:rPr>
          <w:sz w:val="24"/>
          <w:szCs w:val="24"/>
          <w:lang w:val="es-ES_tradnl"/>
        </w:rPr>
        <w:t>):                                         Antonio Largo Cabrerizo, Rector</w:t>
      </w:r>
    </w:p>
    <w:p w14:paraId="42E3B237" w14:textId="77777777" w:rsidR="00E200FA" w:rsidRDefault="00E200FA" w:rsidP="00A16953">
      <w:pPr>
        <w:tabs>
          <w:tab w:val="left" w:pos="5670"/>
        </w:tabs>
        <w:rPr>
          <w:sz w:val="24"/>
          <w:szCs w:val="24"/>
          <w:highlight w:val="lightGray"/>
          <w:lang w:val="es-ES_tradnl"/>
        </w:rPr>
      </w:pPr>
    </w:p>
    <w:p w14:paraId="00790694" w14:textId="77777777" w:rsidR="00E200FA" w:rsidRDefault="00E200FA" w:rsidP="00A16953">
      <w:pPr>
        <w:tabs>
          <w:tab w:val="left" w:pos="5670"/>
        </w:tabs>
        <w:rPr>
          <w:sz w:val="24"/>
          <w:szCs w:val="24"/>
          <w:highlight w:val="lightGray"/>
          <w:lang w:val="es-ES_tradnl"/>
        </w:rPr>
      </w:pPr>
    </w:p>
    <w:p w14:paraId="54B0054F" w14:textId="77777777" w:rsidR="00E200FA" w:rsidRDefault="00E200FA" w:rsidP="00A16953">
      <w:pPr>
        <w:tabs>
          <w:tab w:val="left" w:pos="5670"/>
        </w:tabs>
        <w:rPr>
          <w:sz w:val="24"/>
          <w:szCs w:val="24"/>
          <w:highlight w:val="lightGray"/>
          <w:lang w:val="es-ES_tradnl"/>
        </w:rPr>
      </w:pPr>
    </w:p>
    <w:p w14:paraId="74AF2561" w14:textId="4DE4315A" w:rsidR="00A16953" w:rsidRPr="008B395F" w:rsidRDefault="00A16953" w:rsidP="00A16953">
      <w:pPr>
        <w:tabs>
          <w:tab w:val="left" w:pos="5670"/>
        </w:tabs>
        <w:rPr>
          <w:sz w:val="24"/>
          <w:szCs w:val="24"/>
          <w:lang w:val="es-ES_tradnl"/>
        </w:rPr>
      </w:pPr>
      <w:r w:rsidRPr="008B395F">
        <w:rPr>
          <w:sz w:val="24"/>
          <w:szCs w:val="24"/>
          <w:lang w:val="es-ES_tradnl"/>
        </w:rPr>
        <w:tab/>
      </w:r>
    </w:p>
    <w:p w14:paraId="71920B57" w14:textId="77777777" w:rsidR="00E200FA" w:rsidRDefault="00A16953" w:rsidP="00A16953">
      <w:pPr>
        <w:tabs>
          <w:tab w:val="left" w:pos="5670"/>
        </w:tabs>
        <w:spacing w:after="120"/>
        <w:rPr>
          <w:sz w:val="24"/>
          <w:szCs w:val="24"/>
          <w:lang w:val="es-ES_tradnl"/>
        </w:rPr>
      </w:pPr>
      <w:r w:rsidRPr="008B395F">
        <w:rPr>
          <w:sz w:val="24"/>
          <w:szCs w:val="24"/>
          <w:lang w:val="es-ES_tradnl"/>
        </w:rPr>
        <w:t xml:space="preserve">Hecho </w:t>
      </w:r>
      <w:r w:rsidR="00E200FA">
        <w:rPr>
          <w:sz w:val="24"/>
          <w:szCs w:val="24"/>
          <w:lang w:val="es-ES_tradnl"/>
        </w:rPr>
        <w:t xml:space="preserve">en                                                             </w:t>
      </w:r>
      <w:r w:rsidRPr="008B395F">
        <w:rPr>
          <w:sz w:val="24"/>
          <w:szCs w:val="24"/>
          <w:lang w:val="es-ES_tradnl"/>
        </w:rPr>
        <w:t xml:space="preserve">Hecho en </w:t>
      </w:r>
      <w:r w:rsidR="00E200FA">
        <w:rPr>
          <w:sz w:val="24"/>
          <w:szCs w:val="24"/>
          <w:lang w:val="es-ES_tradnl"/>
        </w:rPr>
        <w:t xml:space="preserve">Valladolid, </w:t>
      </w:r>
    </w:p>
    <w:p w14:paraId="7E39F1BF" w14:textId="5A9374D2" w:rsidR="00A16953" w:rsidRPr="00E200FA" w:rsidRDefault="00E200FA" w:rsidP="00A16953">
      <w:pPr>
        <w:tabs>
          <w:tab w:val="left" w:pos="5670"/>
        </w:tabs>
        <w:spacing w:after="120"/>
        <w:rPr>
          <w:sz w:val="24"/>
          <w:szCs w:val="24"/>
          <w:lang w:val="es-ES_tradnl"/>
        </w:rPr>
      </w:pPr>
      <w:r>
        <w:rPr>
          <w:sz w:val="24"/>
          <w:szCs w:val="24"/>
          <w:lang w:val="es-ES_tradnl"/>
        </w:rPr>
        <w:t xml:space="preserve">                    (lugar, fecha)</w:t>
      </w:r>
      <w:r w:rsidR="00A16953"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56A98139" w14:textId="77777777" w:rsidR="00A16953" w:rsidRPr="008B395F" w:rsidRDefault="00A16953" w:rsidP="00A16953">
      <w:pPr>
        <w:tabs>
          <w:tab w:val="left" w:pos="1701"/>
        </w:tabs>
        <w:jc w:val="center"/>
        <w:rPr>
          <w:sz w:val="24"/>
          <w:szCs w:val="24"/>
          <w:lang w:val="es-ES_tradnl"/>
        </w:rPr>
      </w:pPr>
    </w:p>
    <w:p w14:paraId="3FCF5A0C" w14:textId="77777777" w:rsidR="00A16953" w:rsidRPr="008B395F" w:rsidRDefault="00A16953" w:rsidP="00A16953">
      <w:pPr>
        <w:ind w:firstLine="709"/>
        <w:jc w:val="center"/>
        <w:rPr>
          <w:sz w:val="24"/>
          <w:szCs w:val="24"/>
          <w:lang w:val="es-ES_tradnl"/>
        </w:rPr>
      </w:pPr>
      <w:r w:rsidRPr="008E5879">
        <w:rPr>
          <w:sz w:val="24"/>
          <w:szCs w:val="24"/>
          <w:highlight w:val="yellow"/>
          <w:lang w:val="es-ES_tradnl"/>
        </w:rPr>
        <w:t>[KA1 – EDUCACIÓN SUPERIOR Seleccionar por la institución]</w:t>
      </w:r>
    </w:p>
    <w:p w14:paraId="10BE5F3F" w14:textId="77777777" w:rsidR="00A16953" w:rsidRPr="008B395F" w:rsidRDefault="00A16953" w:rsidP="00A16953">
      <w:pPr>
        <w:ind w:right="-1529"/>
        <w:jc w:val="center"/>
        <w:rPr>
          <w:b/>
          <w:bCs/>
          <w:sz w:val="24"/>
          <w:szCs w:val="24"/>
          <w:highlight w:val="lightGray"/>
          <w:lang w:val="es-ES_tradnl"/>
        </w:rPr>
      </w:pPr>
      <w:r w:rsidRPr="008B395F">
        <w:rPr>
          <w:b/>
          <w:sz w:val="24"/>
          <w:lang w:val="es-ES_tradnl"/>
        </w:rPr>
        <w:br/>
      </w:r>
      <w:r w:rsidRPr="008E5879">
        <w:rPr>
          <w:b/>
          <w:sz w:val="24"/>
          <w:szCs w:val="24"/>
          <w:highlight w:val="lightGray"/>
          <w:lang w:val="es-ES_tradnl"/>
        </w:rPr>
        <w:t xml:space="preserve">Acuerdo de </w:t>
      </w:r>
      <w:r w:rsidRPr="008B395F">
        <w:rPr>
          <w:b/>
          <w:sz w:val="24"/>
          <w:szCs w:val="24"/>
          <w:highlight w:val="lightGray"/>
          <w:lang w:val="es-ES_tradnl"/>
        </w:rPr>
        <w:t>Aprendizaje Erasmus+ para la movilidad de estudiantes para estudios</w:t>
      </w:r>
    </w:p>
    <w:p w14:paraId="7258A20A" w14:textId="77777777" w:rsidR="00A16953" w:rsidRPr="008B395F" w:rsidRDefault="00A16953" w:rsidP="00A16953">
      <w:pPr>
        <w:tabs>
          <w:tab w:val="left" w:pos="1701"/>
        </w:tabs>
        <w:ind w:right="-1529"/>
        <w:jc w:val="center"/>
        <w:rPr>
          <w:b/>
          <w:sz w:val="24"/>
          <w:szCs w:val="24"/>
          <w:highlight w:val="lightGray"/>
          <w:lang w:val="es-ES_tradnl"/>
        </w:rPr>
      </w:pPr>
      <w:r w:rsidRPr="008E5879">
        <w:rPr>
          <w:b/>
          <w:sz w:val="24"/>
          <w:szCs w:val="24"/>
          <w:highlight w:val="lightGray"/>
          <w:lang w:val="es-ES_tradnl"/>
        </w:rPr>
        <w:t>Acuerdo de Aprendizaje Erasmus+ para la movilidad de estudiantes para prácticas</w:t>
      </w:r>
    </w:p>
    <w:p w14:paraId="4D4D55A3" w14:textId="77777777" w:rsidR="00A16953" w:rsidRPr="008B395F" w:rsidRDefault="00A16953" w:rsidP="00A16953">
      <w:pPr>
        <w:tabs>
          <w:tab w:val="left" w:pos="5670"/>
        </w:tabs>
        <w:jc w:val="center"/>
        <w:rPr>
          <w:b/>
          <w:bCs/>
          <w:sz w:val="24"/>
          <w:szCs w:val="24"/>
          <w:highlight w:val="lightGray"/>
          <w:lang w:val="es-ES_tradnl"/>
        </w:rPr>
      </w:pPr>
      <w:r w:rsidRPr="008B395F">
        <w:rPr>
          <w:b/>
          <w:bCs/>
          <w:sz w:val="24"/>
          <w:szCs w:val="24"/>
          <w:highlight w:val="lightGray"/>
          <w:lang w:val="es-ES_tradnl"/>
        </w:rPr>
        <w:t>Acuerdo de movilidad Erasmus+ de personal para docencia</w:t>
      </w:r>
    </w:p>
    <w:p w14:paraId="2ADB3FBC" w14:textId="77777777" w:rsidR="00A16953" w:rsidRPr="008B395F" w:rsidRDefault="00A16953" w:rsidP="00A16953">
      <w:pPr>
        <w:tabs>
          <w:tab w:val="left" w:pos="1701"/>
        </w:tabs>
        <w:jc w:val="center"/>
        <w:rPr>
          <w:b/>
          <w:lang w:val="es-ES_tradnl"/>
        </w:rPr>
      </w:pPr>
      <w:r w:rsidRPr="008B395F">
        <w:rPr>
          <w:b/>
          <w:bCs/>
          <w:sz w:val="24"/>
          <w:szCs w:val="24"/>
          <w:highlight w:val="lightGray"/>
          <w:lang w:val="es-ES_tradnl"/>
        </w:rPr>
        <w:t>Acuerdo de movilidad Erasmus+ de personal para formación</w:t>
      </w:r>
    </w:p>
    <w:p w14:paraId="3828C9E4" w14:textId="77777777" w:rsidR="009F0378" w:rsidRPr="008B395F" w:rsidRDefault="009F0378">
      <w:pPr>
        <w:rPr>
          <w:lang w:val="es-ES_tradnl"/>
        </w:rPr>
      </w:pPr>
    </w:p>
    <w:sectPr w:rsidR="009F0378" w:rsidRPr="008B395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3F9A" w14:textId="77777777" w:rsidR="001E524F" w:rsidRDefault="001E524F" w:rsidP="00A16953">
      <w:r>
        <w:separator/>
      </w:r>
    </w:p>
  </w:endnote>
  <w:endnote w:type="continuationSeparator" w:id="0">
    <w:p w14:paraId="1FC17015" w14:textId="77777777" w:rsidR="001E524F" w:rsidRDefault="001E524F"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BED0" w14:textId="77777777" w:rsidR="001E524F" w:rsidRDefault="001E524F" w:rsidP="00A16953">
      <w:r>
        <w:separator/>
      </w:r>
    </w:p>
  </w:footnote>
  <w:footnote w:type="continuationSeparator" w:id="0">
    <w:p w14:paraId="03BBD68B" w14:textId="77777777" w:rsidR="001E524F" w:rsidRDefault="001E524F"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5396F11"/>
    <w:multiLevelType w:val="hybridMultilevel"/>
    <w:tmpl w:val="69B0F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6" w15:restartNumberingAfterBreak="0">
    <w:nsid w:val="78413164"/>
    <w:multiLevelType w:val="multilevel"/>
    <w:tmpl w:val="EA52D7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083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1364597413">
    <w:abstractNumId w:val="5"/>
  </w:num>
  <w:num w:numId="3" w16cid:durableId="840973919">
    <w:abstractNumId w:val="1"/>
  </w:num>
  <w:num w:numId="4" w16cid:durableId="2059161318">
    <w:abstractNumId w:val="0"/>
    <w:lvlOverride w:ilvl="0">
      <w:startOverride w:val="1"/>
    </w:lvlOverride>
    <w:lvlOverride w:ilvl="1"/>
    <w:lvlOverride w:ilvl="2"/>
    <w:lvlOverride w:ilvl="3"/>
    <w:lvlOverride w:ilvl="4"/>
    <w:lvlOverride w:ilvl="5"/>
    <w:lvlOverride w:ilvl="6"/>
    <w:lvlOverride w:ilvl="7"/>
    <w:lvlOverride w:ilvl="8"/>
  </w:num>
  <w:num w:numId="5" w16cid:durableId="197550660">
    <w:abstractNumId w:val="0"/>
  </w:num>
  <w:num w:numId="6" w16cid:durableId="198513850">
    <w:abstractNumId w:val="4"/>
  </w:num>
  <w:num w:numId="7" w16cid:durableId="1563052920">
    <w:abstractNumId w:val="4"/>
  </w:num>
  <w:num w:numId="8" w16cid:durableId="68773036">
    <w:abstractNumId w:val="2"/>
  </w:num>
  <w:num w:numId="9" w16cid:durableId="109651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324B"/>
    <w:rsid w:val="00064750"/>
    <w:rsid w:val="00070369"/>
    <w:rsid w:val="000A497B"/>
    <w:rsid w:val="000E41EC"/>
    <w:rsid w:val="000F0BE1"/>
    <w:rsid w:val="00113E29"/>
    <w:rsid w:val="00151A28"/>
    <w:rsid w:val="00182DA4"/>
    <w:rsid w:val="001B5A52"/>
    <w:rsid w:val="001D66F4"/>
    <w:rsid w:val="001E4027"/>
    <w:rsid w:val="001E45D7"/>
    <w:rsid w:val="001E497A"/>
    <w:rsid w:val="001E524F"/>
    <w:rsid w:val="002240A0"/>
    <w:rsid w:val="002660D2"/>
    <w:rsid w:val="00271699"/>
    <w:rsid w:val="002760E3"/>
    <w:rsid w:val="00290154"/>
    <w:rsid w:val="002F7823"/>
    <w:rsid w:val="003162B2"/>
    <w:rsid w:val="003416C3"/>
    <w:rsid w:val="00350348"/>
    <w:rsid w:val="00404289"/>
    <w:rsid w:val="004355FC"/>
    <w:rsid w:val="00470812"/>
    <w:rsid w:val="004D117B"/>
    <w:rsid w:val="005F0E64"/>
    <w:rsid w:val="006615DE"/>
    <w:rsid w:val="00684011"/>
    <w:rsid w:val="0073175F"/>
    <w:rsid w:val="00735F0D"/>
    <w:rsid w:val="007A3BC3"/>
    <w:rsid w:val="007E4B7B"/>
    <w:rsid w:val="008068B2"/>
    <w:rsid w:val="0081020E"/>
    <w:rsid w:val="00812F38"/>
    <w:rsid w:val="008565DE"/>
    <w:rsid w:val="008A6826"/>
    <w:rsid w:val="008B395F"/>
    <w:rsid w:val="008C7366"/>
    <w:rsid w:val="008E5879"/>
    <w:rsid w:val="008F041D"/>
    <w:rsid w:val="008F41DC"/>
    <w:rsid w:val="00900C37"/>
    <w:rsid w:val="00925B86"/>
    <w:rsid w:val="00973DE2"/>
    <w:rsid w:val="009A1F7E"/>
    <w:rsid w:val="009C50B1"/>
    <w:rsid w:val="009D0BDE"/>
    <w:rsid w:val="009E77CA"/>
    <w:rsid w:val="009F0378"/>
    <w:rsid w:val="00A16953"/>
    <w:rsid w:val="00A2401D"/>
    <w:rsid w:val="00A31F61"/>
    <w:rsid w:val="00AA37FE"/>
    <w:rsid w:val="00AA7C0E"/>
    <w:rsid w:val="00AB1BAE"/>
    <w:rsid w:val="00B65825"/>
    <w:rsid w:val="00B74A3C"/>
    <w:rsid w:val="00B92E74"/>
    <w:rsid w:val="00BA285A"/>
    <w:rsid w:val="00C7790B"/>
    <w:rsid w:val="00CD43AA"/>
    <w:rsid w:val="00D0019F"/>
    <w:rsid w:val="00DC762F"/>
    <w:rsid w:val="00E200FA"/>
    <w:rsid w:val="00E24EBA"/>
    <w:rsid w:val="00E630E1"/>
    <w:rsid w:val="00F1314E"/>
    <w:rsid w:val="00F22941"/>
    <w:rsid w:val="00F42488"/>
    <w:rsid w:val="00F52203"/>
    <w:rsid w:val="00F95B4C"/>
    <w:rsid w:val="00FC61C5"/>
    <w:rsid w:val="00FD5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character" w:styleId="Mencinsinresolver">
    <w:name w:val="Unresolved Mention"/>
    <w:basedOn w:val="Fuentedeprrafopredeter"/>
    <w:uiPriority w:val="99"/>
    <w:semiHidden/>
    <w:unhideWhenUsed/>
    <w:rsid w:val="00B65825"/>
    <w:rPr>
      <w:color w:val="605E5C"/>
      <w:shd w:val="clear" w:color="auto" w:fill="E1DFDD"/>
    </w:rPr>
  </w:style>
  <w:style w:type="paragraph" w:styleId="Textoindependiente">
    <w:name w:val="Body Text"/>
    <w:basedOn w:val="Normal"/>
    <w:link w:val="TextoindependienteCar"/>
    <w:uiPriority w:val="99"/>
    <w:semiHidden/>
    <w:unhideWhenUsed/>
    <w:rsid w:val="009C50B1"/>
    <w:pPr>
      <w:spacing w:after="120"/>
    </w:pPr>
  </w:style>
  <w:style w:type="character" w:customStyle="1" w:styleId="TextoindependienteCar">
    <w:name w:val="Texto independiente Car"/>
    <w:basedOn w:val="Fuentedeprrafopredeter"/>
    <w:link w:val="Textoindependiente"/>
    <w:uiPriority w:val="99"/>
    <w:semiHidden/>
    <w:rsid w:val="009C50B1"/>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 w:id="20291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s.erasmus@uv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gate.ec.europa.eu/erasmus-esc/index/privacy-statement" TargetMode="External"/><Relationship Id="rId4" Type="http://schemas.openxmlformats.org/officeDocument/2006/relationships/settings" Target="settings.xml"/><Relationship Id="rId9" Type="http://schemas.openxmlformats.org/officeDocument/2006/relationships/hyperlink" Target="http://www.sepie.es/doc/comunicacion/publicaciones/2024/ayudas_erasmus_2024_educacion_superior_ka13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2643</Words>
  <Characters>14541</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LAURA GUTIERREZ ELICES</cp:lastModifiedBy>
  <cp:revision>2</cp:revision>
  <dcterms:created xsi:type="dcterms:W3CDTF">2025-02-19T09:28:00Z</dcterms:created>
  <dcterms:modified xsi:type="dcterms:W3CDTF">2025-02-19T09:28:00Z</dcterms:modified>
</cp:coreProperties>
</file>